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A8052" w14:textId="77777777" w:rsidR="00054B92" w:rsidRDefault="00054B92">
      <w:pPr>
        <w:rPr>
          <w:rFonts w:ascii="仿宋" w:eastAsia="仿宋" w:hAnsi="仿宋" w:cs="仿宋" w:hint="eastAsia"/>
          <w:sz w:val="32"/>
          <w:szCs w:val="36"/>
        </w:rPr>
      </w:pPr>
    </w:p>
    <w:p w14:paraId="0139ACEC" w14:textId="77777777" w:rsidR="00054B92" w:rsidRDefault="00000000">
      <w:pPr>
        <w:jc w:val="center"/>
        <w:rPr>
          <w:rFonts w:ascii="宋体" w:hAnsi="宋体" w:cs="宋体" w:hint="eastAsia"/>
          <w:b/>
          <w:bCs/>
          <w:sz w:val="44"/>
          <w:szCs w:val="48"/>
        </w:rPr>
      </w:pPr>
      <w:r>
        <w:rPr>
          <w:rFonts w:ascii="宋体" w:hAnsi="宋体" w:cs="宋体" w:hint="eastAsia"/>
          <w:b/>
          <w:bCs/>
          <w:sz w:val="44"/>
          <w:szCs w:val="48"/>
        </w:rPr>
        <w:t>国家疾控局孙阳副局长一行到访群公学院，座谈传染病监测预警与卫生应急工作</w:t>
      </w:r>
    </w:p>
    <w:p w14:paraId="1CAB9920" w14:textId="77777777" w:rsidR="00054B92" w:rsidRDefault="00054B92">
      <w:pPr>
        <w:ind w:firstLineChars="200" w:firstLine="640"/>
        <w:rPr>
          <w:rFonts w:ascii="仿宋" w:eastAsia="仿宋" w:hAnsi="仿宋" w:cs="仿宋" w:hint="eastAsia"/>
          <w:sz w:val="32"/>
          <w:szCs w:val="36"/>
        </w:rPr>
      </w:pPr>
    </w:p>
    <w:p w14:paraId="7E1E2DB9" w14:textId="77777777" w:rsidR="00054B92" w:rsidRDefault="00000000">
      <w:pPr>
        <w:ind w:firstLineChars="200" w:firstLine="640"/>
        <w:rPr>
          <w:rFonts w:ascii="仿宋" w:eastAsia="仿宋" w:hAnsi="仿宋" w:cs="仿宋" w:hint="eastAsia"/>
          <w:sz w:val="32"/>
          <w:szCs w:val="36"/>
        </w:rPr>
      </w:pPr>
      <w:r>
        <w:rPr>
          <w:rFonts w:ascii="仿宋" w:eastAsia="仿宋" w:hAnsi="仿宋" w:cs="仿宋" w:hint="eastAsia"/>
          <w:sz w:val="32"/>
          <w:szCs w:val="36"/>
        </w:rPr>
        <w:t>2024年11月7日下午，国家疾控局孙阳副局长、监测预警司杨峰司长与焦振泉副司长、应急处置司李珣二级巡视员以及综合司毕琪主任科员一行到访群医学及公共卫生学院，就传染病监测预警与卫生应急工作进行座谈调研。中国医学科学院北京协和医学院院校长、群公学院院长王辰院士，群公学院执行院长杨维中教授，以及学院传染病预警研究团队部分教师与博士同学参加座谈。</w:t>
      </w:r>
    </w:p>
    <w:p w14:paraId="66CD1A63" w14:textId="03E0BF5E" w:rsidR="00054B92" w:rsidRDefault="00FD2AFA">
      <w:pPr>
        <w:jc w:val="left"/>
        <w:rPr>
          <w:rFonts w:ascii="仿宋" w:eastAsia="仿宋" w:hAnsi="仿宋" w:cs="仿宋"/>
          <w:sz w:val="32"/>
          <w:szCs w:val="36"/>
        </w:rPr>
      </w:pPr>
      <w:r>
        <w:rPr>
          <w:rFonts w:ascii="仿宋" w:eastAsia="仿宋" w:hAnsi="仿宋" w:cs="仿宋" w:hint="eastAsia"/>
          <w:noProof/>
          <w:sz w:val="32"/>
          <w:szCs w:val="36"/>
        </w:rPr>
        <w:drawing>
          <wp:inline distT="0" distB="0" distL="0" distR="0" wp14:anchorId="601A1DA3" wp14:editId="11C5A64C">
            <wp:extent cx="5274310" cy="3565525"/>
            <wp:effectExtent l="0" t="0" r="2540" b="0"/>
            <wp:docPr id="217754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5475" name="图片 217754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565525"/>
                    </a:xfrm>
                    <a:prstGeom prst="rect">
                      <a:avLst/>
                    </a:prstGeom>
                  </pic:spPr>
                </pic:pic>
              </a:graphicData>
            </a:graphic>
          </wp:inline>
        </w:drawing>
      </w:r>
    </w:p>
    <w:p w14:paraId="598D44FA" w14:textId="72907663" w:rsidR="00FD2AFA" w:rsidRDefault="00FD2AFA">
      <w:pPr>
        <w:jc w:val="left"/>
        <w:rPr>
          <w:rFonts w:ascii="仿宋" w:eastAsia="仿宋" w:hAnsi="仿宋" w:cs="仿宋" w:hint="eastAsia"/>
          <w:sz w:val="32"/>
          <w:szCs w:val="36"/>
        </w:rPr>
      </w:pPr>
      <w:r>
        <w:rPr>
          <w:rFonts w:ascii="仿宋" w:eastAsia="仿宋" w:hAnsi="仿宋" w:cs="仿宋" w:hint="eastAsia"/>
          <w:noProof/>
          <w:sz w:val="32"/>
          <w:szCs w:val="36"/>
        </w:rPr>
        <w:lastRenderedPageBreak/>
        <w:drawing>
          <wp:inline distT="0" distB="0" distL="0" distR="0" wp14:anchorId="2B1AB7D7" wp14:editId="3056ECC2">
            <wp:extent cx="5274310" cy="3390900"/>
            <wp:effectExtent l="0" t="0" r="2540" b="0"/>
            <wp:docPr id="1999699363" name="图片 3" descr="一群人坐在桌子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99363" name="图片 3" descr="一群人坐在桌子前&#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390900"/>
                    </a:xfrm>
                    <a:prstGeom prst="rect">
                      <a:avLst/>
                    </a:prstGeom>
                  </pic:spPr>
                </pic:pic>
              </a:graphicData>
            </a:graphic>
          </wp:inline>
        </w:drawing>
      </w:r>
    </w:p>
    <w:p w14:paraId="657A3A14" w14:textId="77777777" w:rsidR="00054B92" w:rsidRDefault="00000000">
      <w:pPr>
        <w:ind w:firstLineChars="200" w:firstLine="640"/>
        <w:rPr>
          <w:rFonts w:ascii="仿宋" w:eastAsia="仿宋" w:hAnsi="仿宋" w:cs="仿宋" w:hint="eastAsia"/>
          <w:sz w:val="32"/>
          <w:szCs w:val="36"/>
        </w:rPr>
      </w:pPr>
      <w:r>
        <w:rPr>
          <w:rFonts w:ascii="仿宋" w:eastAsia="仿宋" w:hAnsi="仿宋" w:cs="仿宋" w:hint="eastAsia"/>
          <w:sz w:val="32"/>
          <w:szCs w:val="36"/>
        </w:rPr>
        <w:t>王辰院校长代表院校和群公学院</w:t>
      </w:r>
      <w:proofErr w:type="gramStart"/>
      <w:r>
        <w:rPr>
          <w:rFonts w:ascii="仿宋" w:eastAsia="仿宋" w:hAnsi="仿宋" w:cs="仿宋" w:hint="eastAsia"/>
          <w:sz w:val="32"/>
          <w:szCs w:val="36"/>
        </w:rPr>
        <w:t>对孙阳副局长</w:t>
      </w:r>
      <w:proofErr w:type="gramEnd"/>
      <w:r>
        <w:rPr>
          <w:rFonts w:ascii="仿宋" w:eastAsia="仿宋" w:hAnsi="仿宋" w:cs="仿宋" w:hint="eastAsia"/>
          <w:sz w:val="32"/>
          <w:szCs w:val="36"/>
        </w:rPr>
        <w:t>一行表示热烈欢迎，并感谢</w:t>
      </w:r>
      <w:proofErr w:type="gramStart"/>
      <w:r>
        <w:rPr>
          <w:rFonts w:ascii="仿宋" w:eastAsia="仿宋" w:hAnsi="仿宋" w:cs="仿宋" w:hint="eastAsia"/>
          <w:sz w:val="32"/>
          <w:szCs w:val="36"/>
        </w:rPr>
        <w:t>国家疾控局</w:t>
      </w:r>
      <w:proofErr w:type="gramEnd"/>
      <w:r>
        <w:rPr>
          <w:rFonts w:ascii="仿宋" w:eastAsia="仿宋" w:hAnsi="仿宋" w:cs="仿宋" w:hint="eastAsia"/>
          <w:sz w:val="32"/>
          <w:szCs w:val="36"/>
        </w:rPr>
        <w:t>近年来对院校各项工作的指导和支持。王院长表示，中国医学科学院北京协和医学院贯彻落实习近平总书记关于“建立智慧化预警多点触发机制，健全多渠道监测预警机制，提高实时分析、集中研判的能力”和“要建设一批高水平公共卫生学院，着力培养能解决病原学鉴定、疫情形势研判和传播规律研究、现场流行病学调查、实验室检测等实际问题的人才”的重要指示，将传染病监测预警和卫生应急的科研、教学与社会服务作为院校的优先工作领域。尤其是在新冠疫情发生后，结合我国进入大数据与人工智能时代的新形势，院校加大投入力度，设立医学与健康科技创新工程重大项目重点支持传染病现实世界监测（Real World Surveillance, RWS）和预警技术的创新研究，</w:t>
      </w:r>
      <w:r>
        <w:rPr>
          <w:rFonts w:ascii="仿宋" w:eastAsia="仿宋" w:hAnsi="仿宋" w:cs="仿宋" w:hint="eastAsia"/>
          <w:sz w:val="32"/>
          <w:szCs w:val="36"/>
        </w:rPr>
        <w:lastRenderedPageBreak/>
        <w:t>取得了显著成效。期望院校科研成果持续为国家传染病防控能力提升提供支撑。</w:t>
      </w:r>
    </w:p>
    <w:p w14:paraId="1D13039C" w14:textId="77777777" w:rsidR="00054B92" w:rsidRDefault="00000000">
      <w:pPr>
        <w:ind w:firstLineChars="200" w:firstLine="640"/>
        <w:rPr>
          <w:rFonts w:ascii="仿宋" w:eastAsia="仿宋" w:hAnsi="仿宋" w:cs="仿宋" w:hint="eastAsia"/>
          <w:sz w:val="32"/>
          <w:szCs w:val="36"/>
        </w:rPr>
      </w:pPr>
      <w:r>
        <w:rPr>
          <w:rFonts w:ascii="仿宋" w:eastAsia="仿宋" w:hAnsi="仿宋" w:cs="仿宋" w:hint="eastAsia"/>
          <w:sz w:val="32"/>
          <w:szCs w:val="36"/>
        </w:rPr>
        <w:t>会上，群公学院冯录召副院长介绍了协和公共卫生学科的发展历程。从百年前肇始，到如今跻身国家“双一流”建设学科和“高水平公共卫生学院建设高校”，并获批公共卫生专业博士(DrPH)学位授权点，群公学院发展取得重要突破。学院持续完善学科体系、扩大人才培养规模、丰富课程教材建设、加强师资队伍建设。同时，学院积极搭建高层次科研平台，推进多学科交叉融合，充分发挥高端智库作用，为国家公共卫生战略发展提供智力支持。</w:t>
      </w:r>
    </w:p>
    <w:p w14:paraId="7D7E3230" w14:textId="77777777" w:rsidR="00054B92" w:rsidRDefault="00000000">
      <w:pPr>
        <w:ind w:firstLineChars="200" w:firstLine="640"/>
        <w:rPr>
          <w:rFonts w:ascii="仿宋" w:eastAsia="仿宋" w:hAnsi="仿宋" w:cs="仿宋" w:hint="eastAsia"/>
          <w:sz w:val="32"/>
          <w:szCs w:val="36"/>
        </w:rPr>
      </w:pPr>
      <w:r>
        <w:rPr>
          <w:rFonts w:ascii="仿宋" w:eastAsia="仿宋" w:hAnsi="仿宋" w:cs="仿宋"/>
          <w:sz w:val="32"/>
          <w:szCs w:val="36"/>
        </w:rPr>
        <w:t>群公</w:t>
      </w:r>
      <w:r>
        <w:rPr>
          <w:rFonts w:ascii="仿宋" w:eastAsia="仿宋" w:hAnsi="仿宋" w:cs="仿宋" w:hint="eastAsia"/>
          <w:sz w:val="32"/>
          <w:szCs w:val="36"/>
        </w:rPr>
        <w:t>学院</w:t>
      </w:r>
      <w:r>
        <w:rPr>
          <w:rFonts w:ascii="仿宋" w:eastAsia="仿宋" w:hAnsi="仿宋" w:cs="仿宋"/>
          <w:sz w:val="32"/>
          <w:szCs w:val="36"/>
        </w:rPr>
        <w:t>院长助理李中杰</w:t>
      </w:r>
      <w:r>
        <w:rPr>
          <w:rFonts w:ascii="仿宋" w:eastAsia="仿宋" w:hAnsi="仿宋" w:cs="仿宋" w:hint="eastAsia"/>
          <w:sz w:val="32"/>
          <w:szCs w:val="36"/>
        </w:rPr>
        <w:t>汇报了</w:t>
      </w:r>
      <w:r>
        <w:rPr>
          <w:rFonts w:ascii="仿宋" w:eastAsia="仿宋" w:hAnsi="仿宋" w:cs="仿宋"/>
          <w:sz w:val="32"/>
          <w:szCs w:val="36"/>
        </w:rPr>
        <w:t>传染病监测预警与应急工作的最新进展。</w:t>
      </w:r>
      <w:r>
        <w:rPr>
          <w:rFonts w:ascii="仿宋" w:eastAsia="仿宋" w:hAnsi="仿宋" w:cs="仿宋" w:hint="eastAsia"/>
          <w:sz w:val="32"/>
          <w:szCs w:val="36"/>
        </w:rPr>
        <w:t>近年来，研究</w:t>
      </w:r>
      <w:r>
        <w:rPr>
          <w:rFonts w:ascii="仿宋" w:eastAsia="仿宋" w:hAnsi="仿宋" w:cs="仿宋"/>
          <w:sz w:val="32"/>
          <w:szCs w:val="36"/>
        </w:rPr>
        <w:t>团队构建了“预警理论—多源数据—模型算法—应用推广”的系统研究思路</w:t>
      </w:r>
      <w:r>
        <w:rPr>
          <w:rFonts w:ascii="仿宋" w:eastAsia="仿宋" w:hAnsi="仿宋" w:cs="仿宋" w:hint="eastAsia"/>
          <w:sz w:val="32"/>
          <w:szCs w:val="36"/>
        </w:rPr>
        <w:t>，</w:t>
      </w:r>
      <w:r>
        <w:rPr>
          <w:rFonts w:ascii="仿宋" w:eastAsia="仿宋" w:hAnsi="仿宋" w:cs="仿宋"/>
          <w:sz w:val="32"/>
          <w:szCs w:val="36"/>
        </w:rPr>
        <w:t>重点探索网络搜索、上门检测和药品销售等多源数据在传染病监测预警中的应用价值</w:t>
      </w:r>
      <w:r>
        <w:rPr>
          <w:rFonts w:ascii="仿宋" w:eastAsia="仿宋" w:hAnsi="仿宋" w:cs="仿宋" w:hint="eastAsia"/>
          <w:sz w:val="32"/>
          <w:szCs w:val="36"/>
        </w:rPr>
        <w:t>，成功</w:t>
      </w:r>
      <w:r>
        <w:rPr>
          <w:rFonts w:ascii="仿宋" w:eastAsia="仿宋" w:hAnsi="仿宋" w:cs="仿宋"/>
          <w:sz w:val="32"/>
          <w:szCs w:val="36"/>
        </w:rPr>
        <w:t>举办了全国“传染病监测预警技术领军人才高级研修班”和国内外学术会议。</w:t>
      </w:r>
      <w:r>
        <w:rPr>
          <w:rFonts w:ascii="仿宋" w:eastAsia="仿宋" w:hAnsi="仿宋" w:cs="仿宋" w:hint="eastAsia"/>
          <w:sz w:val="32"/>
          <w:szCs w:val="36"/>
        </w:rPr>
        <w:t>未来将进一步发展和完善研究网络，联合国内外合作伙伴开展系统研究和试点工作，助力国家传染病监测预警能力提升。</w:t>
      </w:r>
    </w:p>
    <w:p w14:paraId="6D585651" w14:textId="23566E1A" w:rsidR="00054B92" w:rsidRDefault="00FD2AFA">
      <w:pPr>
        <w:rPr>
          <w:rFonts w:ascii="仿宋" w:eastAsia="仿宋" w:hAnsi="仿宋" w:cs="仿宋" w:hint="eastAsia"/>
          <w:sz w:val="32"/>
          <w:szCs w:val="36"/>
        </w:rPr>
      </w:pPr>
      <w:r>
        <w:rPr>
          <w:rFonts w:ascii="仿宋" w:eastAsia="仿宋" w:hAnsi="仿宋" w:cs="仿宋" w:hint="eastAsia"/>
          <w:noProof/>
          <w:sz w:val="32"/>
          <w:szCs w:val="36"/>
        </w:rPr>
        <w:lastRenderedPageBreak/>
        <w:drawing>
          <wp:inline distT="0" distB="0" distL="0" distR="0" wp14:anchorId="45CAA613" wp14:editId="67332673">
            <wp:extent cx="5274310" cy="3375660"/>
            <wp:effectExtent l="0" t="0" r="2540" b="0"/>
            <wp:docPr id="1480754472" name="图片 4" descr="一群人站在房子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54472" name="图片 4" descr="一群人站在房子前&#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75660"/>
                    </a:xfrm>
                    <a:prstGeom prst="rect">
                      <a:avLst/>
                    </a:prstGeom>
                  </pic:spPr>
                </pic:pic>
              </a:graphicData>
            </a:graphic>
          </wp:inline>
        </w:drawing>
      </w:r>
    </w:p>
    <w:p w14:paraId="70F45D6E" w14:textId="77777777" w:rsidR="00054B92" w:rsidRDefault="00000000">
      <w:pPr>
        <w:ind w:firstLineChars="200" w:firstLine="640"/>
        <w:rPr>
          <w:rFonts w:ascii="仿宋" w:eastAsia="仿宋" w:hAnsi="仿宋" w:cs="仿宋" w:hint="eastAsia"/>
          <w:sz w:val="32"/>
          <w:szCs w:val="36"/>
        </w:rPr>
      </w:pPr>
      <w:proofErr w:type="gramStart"/>
      <w:r>
        <w:rPr>
          <w:rFonts w:ascii="仿宋" w:eastAsia="仿宋" w:hAnsi="仿宋" w:cs="仿宋" w:hint="eastAsia"/>
          <w:sz w:val="32"/>
          <w:szCs w:val="36"/>
        </w:rPr>
        <w:t>孙阳副局长</w:t>
      </w:r>
      <w:proofErr w:type="gramEnd"/>
      <w:r>
        <w:rPr>
          <w:rFonts w:ascii="仿宋" w:eastAsia="仿宋" w:hAnsi="仿宋" w:cs="仿宋" w:hint="eastAsia"/>
          <w:sz w:val="32"/>
          <w:szCs w:val="36"/>
        </w:rPr>
        <w:t>指出，中国医学科学院北京协和医学院贯彻落</w:t>
      </w:r>
      <w:proofErr w:type="gramStart"/>
      <w:r>
        <w:rPr>
          <w:rFonts w:ascii="仿宋" w:eastAsia="仿宋" w:hAnsi="仿宋" w:cs="仿宋" w:hint="eastAsia"/>
          <w:sz w:val="32"/>
          <w:szCs w:val="36"/>
        </w:rPr>
        <w:t>实习近</w:t>
      </w:r>
      <w:proofErr w:type="gramEnd"/>
      <w:r>
        <w:rPr>
          <w:rFonts w:ascii="仿宋" w:eastAsia="仿宋" w:hAnsi="仿宋" w:cs="仿宋" w:hint="eastAsia"/>
          <w:sz w:val="32"/>
          <w:szCs w:val="36"/>
        </w:rPr>
        <w:t>平总书记“努力把中国医学科学院建设成为我国医学科技创新体系的核心基地”重要指示精神，重点围绕国家卫生健康重大需求和公共卫生安全问题开展研究，积极参与政府决策咨询和社会服务，充分发挥了</w:t>
      </w:r>
      <w:proofErr w:type="gramStart"/>
      <w:r>
        <w:rPr>
          <w:rFonts w:ascii="仿宋" w:eastAsia="仿宋" w:hAnsi="仿宋" w:cs="仿宋" w:hint="eastAsia"/>
          <w:sz w:val="32"/>
          <w:szCs w:val="36"/>
        </w:rPr>
        <w:t>咨询智库和</w:t>
      </w:r>
      <w:proofErr w:type="gramEnd"/>
      <w:r>
        <w:rPr>
          <w:rFonts w:ascii="仿宋" w:eastAsia="仿宋" w:hAnsi="仿宋" w:cs="仿宋" w:hint="eastAsia"/>
          <w:sz w:val="32"/>
          <w:szCs w:val="36"/>
        </w:rPr>
        <w:t>技术创新的作用。他表示，公共卫生学院是支撑疾控工作的重要力量，中国医学科学院北京协和医学院高度重视群公学院的建设工作，近年来在群医学及公共卫生学科建设和学院发展取得了显著成效。尤其是在传染病监测预警领域，针对包括医疗机构与社会感知监测在内的多源数据预警技术进行深入研究，探索发展疾控领域的新质生产力，为国家层面的政策制定和地方层面的实践应用发挥了积极作用。他衷心希望协和传染病预警研究团队再接再厉，坚持以国家战略需求为导向，</w:t>
      </w:r>
      <w:r>
        <w:rPr>
          <w:rFonts w:ascii="仿宋" w:eastAsia="仿宋" w:hAnsi="仿宋" w:cs="仿宋" w:hint="eastAsia"/>
          <w:sz w:val="32"/>
          <w:szCs w:val="36"/>
        </w:rPr>
        <w:lastRenderedPageBreak/>
        <w:t>努力发展成为具有全球影响力的传染病监测预警理论研究高地和技术创新基地。</w:t>
      </w:r>
    </w:p>
    <w:p w14:paraId="69B1367A" w14:textId="77777777" w:rsidR="00054B92" w:rsidRDefault="00000000">
      <w:pPr>
        <w:ind w:firstLineChars="200" w:firstLine="640"/>
        <w:rPr>
          <w:rFonts w:ascii="仿宋" w:eastAsia="仿宋" w:hAnsi="仿宋" w:cs="仿宋" w:hint="eastAsia"/>
          <w:sz w:val="32"/>
          <w:szCs w:val="36"/>
        </w:rPr>
      </w:pPr>
      <w:r>
        <w:rPr>
          <w:rFonts w:ascii="仿宋" w:eastAsia="仿宋" w:hAnsi="仿宋" w:cs="仿宋" w:hint="eastAsia"/>
          <w:sz w:val="32"/>
          <w:szCs w:val="36"/>
        </w:rPr>
        <w:t>国家疾控局监测</w:t>
      </w:r>
      <w:r>
        <w:rPr>
          <w:rFonts w:ascii="仿宋" w:eastAsia="仿宋" w:hAnsi="仿宋" w:cs="仿宋"/>
          <w:sz w:val="32"/>
          <w:szCs w:val="36"/>
        </w:rPr>
        <w:t>预警司杨峰司长强调</w:t>
      </w:r>
      <w:r>
        <w:rPr>
          <w:rFonts w:ascii="仿宋" w:eastAsia="仿宋" w:hAnsi="仿宋" w:cs="仿宋" w:hint="eastAsia"/>
          <w:sz w:val="32"/>
          <w:szCs w:val="36"/>
        </w:rPr>
        <w:t>监测预警研究工作需注重吸收借鉴国际有益经验、专业指南与研究技术，加强与相关部门合作，以实践应用为导向，</w:t>
      </w:r>
      <w:r>
        <w:rPr>
          <w:rFonts w:ascii="仿宋" w:eastAsia="仿宋" w:hAnsi="仿宋" w:cs="仿宋"/>
          <w:sz w:val="32"/>
          <w:szCs w:val="36"/>
        </w:rPr>
        <w:t>深挖多源数据</w:t>
      </w:r>
      <w:r>
        <w:rPr>
          <w:rFonts w:ascii="仿宋" w:eastAsia="仿宋" w:hAnsi="仿宋" w:cs="仿宋" w:hint="eastAsia"/>
          <w:sz w:val="32"/>
          <w:szCs w:val="36"/>
        </w:rPr>
        <w:t>的监测预警</w:t>
      </w:r>
      <w:r>
        <w:rPr>
          <w:rFonts w:ascii="仿宋" w:eastAsia="仿宋" w:hAnsi="仿宋" w:cs="仿宋"/>
          <w:sz w:val="32"/>
          <w:szCs w:val="36"/>
        </w:rPr>
        <w:t>价值，</w:t>
      </w:r>
      <w:r>
        <w:rPr>
          <w:rFonts w:ascii="仿宋" w:eastAsia="仿宋" w:hAnsi="仿宋" w:cs="仿宋" w:hint="eastAsia"/>
          <w:sz w:val="32"/>
          <w:szCs w:val="36"/>
        </w:rPr>
        <w:t>尤其是积极</w:t>
      </w:r>
      <w:r>
        <w:rPr>
          <w:rFonts w:ascii="仿宋" w:eastAsia="仿宋" w:hAnsi="仿宋" w:cs="仿宋"/>
          <w:sz w:val="32"/>
          <w:szCs w:val="36"/>
        </w:rPr>
        <w:t>推动人工智能技术在数据全链条应用，</w:t>
      </w:r>
      <w:r>
        <w:rPr>
          <w:rFonts w:ascii="仿宋" w:eastAsia="仿宋" w:hAnsi="仿宋" w:cs="仿宋" w:hint="eastAsia"/>
          <w:sz w:val="32"/>
          <w:szCs w:val="36"/>
        </w:rPr>
        <w:t>搭建监测预警新技术的孵化器。</w:t>
      </w:r>
      <w:r>
        <w:rPr>
          <w:rFonts w:ascii="仿宋" w:eastAsia="仿宋" w:hAnsi="仿宋" w:cs="仿宋"/>
          <w:sz w:val="32"/>
          <w:szCs w:val="36"/>
        </w:rPr>
        <w:t>监测预警司焦振泉副司长</w:t>
      </w:r>
      <w:r>
        <w:rPr>
          <w:rFonts w:ascii="仿宋" w:eastAsia="仿宋" w:hAnsi="仿宋" w:cs="仿宋" w:hint="eastAsia"/>
          <w:sz w:val="32"/>
          <w:szCs w:val="36"/>
        </w:rPr>
        <w:t>介绍了近期国家疾控局在传染病监测、风险评估、预警等方面的工作部署情况，交流了具体落实智慧化多点触发传染病监测预警体系建设的有关考虑</w:t>
      </w:r>
      <w:r>
        <w:rPr>
          <w:rFonts w:ascii="仿宋" w:eastAsia="仿宋" w:hAnsi="仿宋" w:cs="仿宋"/>
          <w:sz w:val="32"/>
          <w:szCs w:val="36"/>
        </w:rPr>
        <w:t>。应急处置司二级巡视员李珣</w:t>
      </w:r>
      <w:r>
        <w:rPr>
          <w:rFonts w:ascii="仿宋" w:eastAsia="仿宋" w:hAnsi="仿宋" w:cs="仿宋" w:hint="eastAsia"/>
          <w:sz w:val="32"/>
          <w:szCs w:val="36"/>
        </w:rPr>
        <w:t>从如何加强应急处置队伍的专业技能与物资储备专业化等方面进行交流，并探讨了未来在完善应急响应机制的法制化、规范化水平等工作。</w:t>
      </w:r>
    </w:p>
    <w:p w14:paraId="4E83C75A" w14:textId="77777777" w:rsidR="00054B92" w:rsidRDefault="00000000">
      <w:pPr>
        <w:ind w:firstLineChars="200" w:firstLine="640"/>
        <w:rPr>
          <w:rFonts w:ascii="仿宋" w:eastAsia="仿宋" w:hAnsi="仿宋" w:cs="仿宋" w:hint="eastAsia"/>
          <w:sz w:val="32"/>
          <w:szCs w:val="36"/>
        </w:rPr>
      </w:pPr>
      <w:r>
        <w:rPr>
          <w:rFonts w:ascii="仿宋" w:eastAsia="仿宋" w:hAnsi="仿宋" w:cs="仿宋"/>
          <w:sz w:val="32"/>
          <w:szCs w:val="36"/>
        </w:rPr>
        <w:t>座谈会最后，</w:t>
      </w:r>
      <w:r>
        <w:rPr>
          <w:rFonts w:ascii="仿宋" w:eastAsia="仿宋" w:hAnsi="仿宋" w:cs="仿宋" w:hint="eastAsia"/>
          <w:sz w:val="32"/>
          <w:szCs w:val="36"/>
        </w:rPr>
        <w:t>群公学院</w:t>
      </w:r>
      <w:r>
        <w:rPr>
          <w:rFonts w:ascii="仿宋" w:eastAsia="仿宋" w:hAnsi="仿宋" w:cs="仿宋"/>
          <w:sz w:val="32"/>
          <w:szCs w:val="36"/>
        </w:rPr>
        <w:t>杨维中执行院长</w:t>
      </w:r>
      <w:r>
        <w:rPr>
          <w:rFonts w:ascii="仿宋" w:eastAsia="仿宋" w:hAnsi="仿宋" w:cs="仿宋" w:hint="eastAsia"/>
          <w:sz w:val="32"/>
          <w:szCs w:val="36"/>
        </w:rPr>
        <w:t>再次</w:t>
      </w:r>
      <w:r>
        <w:rPr>
          <w:rFonts w:ascii="仿宋" w:eastAsia="仿宋" w:hAnsi="仿宋" w:cs="仿宋"/>
          <w:sz w:val="32"/>
          <w:szCs w:val="36"/>
        </w:rPr>
        <w:t>感谢国家疾控局对群公学院</w:t>
      </w:r>
      <w:r>
        <w:rPr>
          <w:rFonts w:ascii="仿宋" w:eastAsia="仿宋" w:hAnsi="仿宋" w:cs="仿宋" w:hint="eastAsia"/>
          <w:sz w:val="32"/>
          <w:szCs w:val="36"/>
        </w:rPr>
        <w:t>监测预警与卫生应急领域相关工作的</w:t>
      </w:r>
      <w:r>
        <w:rPr>
          <w:rFonts w:ascii="仿宋" w:eastAsia="仿宋" w:hAnsi="仿宋" w:cs="仿宋"/>
          <w:sz w:val="32"/>
          <w:szCs w:val="36"/>
        </w:rPr>
        <w:t>指导。</w:t>
      </w:r>
      <w:r>
        <w:rPr>
          <w:rFonts w:ascii="仿宋" w:eastAsia="仿宋" w:hAnsi="仿宋" w:cs="仿宋" w:hint="eastAsia"/>
          <w:sz w:val="32"/>
          <w:szCs w:val="36"/>
        </w:rPr>
        <w:t>他表示，群公</w:t>
      </w:r>
      <w:r>
        <w:rPr>
          <w:rFonts w:ascii="仿宋" w:eastAsia="仿宋" w:hAnsi="仿宋" w:cs="仿宋"/>
          <w:sz w:val="32"/>
          <w:szCs w:val="36"/>
        </w:rPr>
        <w:t>学院传染病监测预警研究团队</w:t>
      </w:r>
      <w:r>
        <w:rPr>
          <w:rFonts w:ascii="仿宋" w:eastAsia="仿宋" w:hAnsi="仿宋" w:cs="仿宋" w:hint="eastAsia"/>
          <w:sz w:val="32"/>
          <w:szCs w:val="36"/>
        </w:rPr>
        <w:t>始终以国家疾病防控的战略重点方向和急迫的实践问题为工作导向，广泛联合国内外合作单位，从“理论发展、数据挖掘、模型构建和应用转化”四个方面系统开展研究工作，全面推进我国传染病监测预警能力提升。</w:t>
      </w:r>
      <w:r>
        <w:rPr>
          <w:rFonts w:ascii="仿宋" w:eastAsia="仿宋" w:hAnsi="仿宋" w:cs="仿宋"/>
          <w:sz w:val="32"/>
          <w:szCs w:val="36"/>
        </w:rPr>
        <w:t>近期</w:t>
      </w:r>
      <w:r>
        <w:rPr>
          <w:rFonts w:ascii="仿宋" w:eastAsia="仿宋" w:hAnsi="仿宋" w:cs="仿宋" w:hint="eastAsia"/>
          <w:sz w:val="32"/>
          <w:szCs w:val="36"/>
        </w:rPr>
        <w:t>，国家疾控局等九个部委局发布了《关于建立健全智慧化多点触发传染病监测预警体系的指导意见》，群公学院研究团队</w:t>
      </w:r>
      <w:r>
        <w:rPr>
          <w:rFonts w:ascii="仿宋" w:eastAsia="仿宋" w:hAnsi="仿宋" w:cs="仿宋"/>
          <w:sz w:val="32"/>
          <w:szCs w:val="36"/>
        </w:rPr>
        <w:t>在前期研究的基础上，</w:t>
      </w:r>
      <w:r>
        <w:rPr>
          <w:rFonts w:ascii="仿宋" w:eastAsia="仿宋" w:hAnsi="仿宋" w:cs="仿宋" w:hint="eastAsia"/>
          <w:sz w:val="32"/>
          <w:szCs w:val="36"/>
        </w:rPr>
        <w:t>联合国内</w:t>
      </w:r>
      <w:r>
        <w:rPr>
          <w:rFonts w:ascii="仿宋" w:eastAsia="仿宋" w:hAnsi="仿宋" w:cs="仿宋" w:hint="eastAsia"/>
          <w:sz w:val="32"/>
          <w:szCs w:val="36"/>
        </w:rPr>
        <w:lastRenderedPageBreak/>
        <w:t>外29家单位共51位相关领域专家编写发表了《传染病多点触发智慧化监测预警系统关键技术专家共识》，并组织了专题学术研讨会议，为各地推进该项工作提出了专业建议，在业界引起广泛关注。未来，工作团队将进一步强化在数据挖掘、工具研发和平台建设方面科研成果的转化应用，制定系列新标准，创建监测预警技术创新平台，多产出新思想、新办法、新技术和新工具，为国家疾病防控工作提供更有力的证据支撑、技术保障和咨询服务。</w:t>
      </w:r>
    </w:p>
    <w:sectPr w:rsidR="00054B92">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C2781" w14:textId="77777777" w:rsidR="00CD3590" w:rsidRDefault="00CD3590">
      <w:r>
        <w:separator/>
      </w:r>
    </w:p>
  </w:endnote>
  <w:endnote w:type="continuationSeparator" w:id="0">
    <w:p w14:paraId="3735210B" w14:textId="77777777" w:rsidR="00CD3590" w:rsidRDefault="00CD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E3610" w14:textId="77777777" w:rsidR="00054B92" w:rsidRDefault="00000000">
    <w:pPr>
      <w:pStyle w:val="a5"/>
    </w:pPr>
    <w:r>
      <w:rPr>
        <w:noProof/>
      </w:rPr>
      <mc:AlternateContent>
        <mc:Choice Requires="wps">
          <w:drawing>
            <wp:anchor distT="0" distB="0" distL="0" distR="0" simplePos="0" relativeHeight="2" behindDoc="0" locked="0" layoutInCell="1" allowOverlap="1" wp14:anchorId="6B13B9C2" wp14:editId="6ECA2E33">
              <wp:simplePos x="0" y="0"/>
              <wp:positionH relativeFrom="margin">
                <wp:align>center</wp:align>
              </wp:positionH>
              <wp:positionV relativeFrom="paragraph">
                <wp:posOffset>0</wp:posOffset>
              </wp:positionV>
              <wp:extent cx="1828800" cy="1828800"/>
              <wp:effectExtent l="0" t="0" r="0" b="0"/>
              <wp:wrapNone/>
              <wp:docPr id="4097"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14:paraId="5D5B5BED" w14:textId="77777777" w:rsidR="00054B92" w:rsidRDefault="00000000">
                          <w:pPr>
                            <w:pStyle w:val="a5"/>
                          </w:pPr>
                          <w:r>
                            <w:fldChar w:fldCharType="begin"/>
                          </w:r>
                          <w:r>
                            <w:instrText xml:space="preserve"> PAGE  \* MERGEFORMAT </w:instrText>
                          </w:r>
                          <w:r>
                            <w:fldChar w:fldCharType="separate"/>
                          </w:r>
                          <w:r>
                            <w:t>1</w:t>
                          </w:r>
                          <w:r>
                            <w:fldChar w:fldCharType="end"/>
                          </w:r>
                        </w:p>
                      </w:txbxContent>
                    </wps:txbx>
                    <wps:bodyPr vert="horz" wrap="none" lIns="0" tIns="0" rIns="0" bIns="0" anchor="t">
                      <a:prstTxWarp prst="textNoShape">
                        <a:avLst/>
                      </a:prstTxWarp>
                      <a:spAutoFit/>
                    </wps:bodyPr>
                  </wps:wsp>
                </a:graphicData>
              </a:graphic>
            </wp:anchor>
          </w:drawing>
        </mc:Choice>
        <mc:Fallback>
          <w:pict>
            <v:rect w14:anchorId="6B13B9C2" id="文本框 1" o:spid="_x0000_s1026" style="position:absolute;margin-left:0;margin-top:0;width:2in;height:2in;z-index:2;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" filled="f" stroked="f">
              <v:textbox style="mso-fit-shape-to-text:t" inset="0,0,0,0">
                <w:txbxContent>
                  <w:p w14:paraId="5D5B5BED" w14:textId="77777777" w:rsidR="00054B92" w:rsidRDefault="00000000">
                    <w:pPr>
                      <w:pStyle w:val="a5"/>
                    </w:pPr>
                    <w:r>
                      <w:fldChar w:fldCharType="begin"/>
                    </w:r>
                    <w:r>
                      <w:instrText xml:space="preserve"> PAGE  \* MERGEFORMAT </w:instrText>
                    </w:r>
                    <w:r>
                      <w:fldChar w:fldCharType="separate"/>
                    </w:r>
                    <w: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03955" w14:textId="77777777" w:rsidR="00CD3590" w:rsidRDefault="00CD3590">
      <w:r>
        <w:separator/>
      </w:r>
    </w:p>
  </w:footnote>
  <w:footnote w:type="continuationSeparator" w:id="0">
    <w:p w14:paraId="605B3FE9" w14:textId="77777777" w:rsidR="00CD3590" w:rsidRDefault="00CD35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B92"/>
    <w:rsid w:val="00054B92"/>
    <w:rsid w:val="004C6501"/>
    <w:rsid w:val="005F65E7"/>
    <w:rsid w:val="00CD3590"/>
    <w:rsid w:val="00E3231A"/>
    <w:rsid w:val="00FD2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6479"/>
  <w15:docId w15:val="{B1428908-9547-48F2-B147-BCF7F0E4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sz w:val="18"/>
      <w:szCs w:val="18"/>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customStyle="1" w:styleId="a4">
    <w:name w:val="批注框文本 字符"/>
    <w:basedOn w:val="a0"/>
    <w:link w:val="a3"/>
    <w:uiPriority w:val="99"/>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大柱 霍</dc:creator>
  <cp:lastModifiedBy>Ye Wang</cp:lastModifiedBy>
  <cp:revision>4</cp:revision>
  <dcterms:created xsi:type="dcterms:W3CDTF">2024-11-10T13:13:00Z</dcterms:created>
  <dcterms:modified xsi:type="dcterms:W3CDTF">2024-11-10T13:14:00Z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7273b25cb0ae40ebbd540d9f29951535_23</vt:lpwstr>
  </property>
</Properties>
</file>